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1B26" w:rsidRPr="00901B26" w:rsidRDefault="00901B26" w:rsidP="00A7099D">
      <w:pPr>
        <w:pStyle w:val="a6"/>
        <w:jc w:val="center"/>
        <w:rPr>
          <w:b/>
          <w:bCs/>
        </w:rPr>
      </w:pPr>
      <w:r w:rsidRPr="00901B26">
        <w:rPr>
          <w:rFonts w:ascii="David" w:hAnsi="David" w:hint="cs"/>
          <w:b/>
          <w:bCs/>
          <w:rtl/>
        </w:rPr>
        <w:t xml:space="preserve">תשובות והבהרות לשאלות ובקשות שהתקבלו במסגרת מכרז </w:t>
      </w:r>
      <w:r w:rsidR="007E57E7">
        <w:rPr>
          <w:rFonts w:hint="cs"/>
          <w:b/>
          <w:bCs/>
          <w:rtl/>
        </w:rPr>
        <w:t xml:space="preserve">פומבי </w:t>
      </w:r>
      <w:r w:rsidR="00A7099D">
        <w:rPr>
          <w:rFonts w:hint="cs"/>
          <w:b/>
          <w:bCs/>
          <w:rtl/>
        </w:rPr>
        <w:t>91/2017</w:t>
      </w:r>
      <w:r w:rsidR="004D7CDD">
        <w:rPr>
          <w:rFonts w:hint="cs"/>
          <w:b/>
          <w:bCs/>
          <w:rtl/>
        </w:rPr>
        <w:t xml:space="preserve"> </w:t>
      </w:r>
      <w:r w:rsidR="00A7099D">
        <w:rPr>
          <w:rFonts w:hint="cs"/>
          <w:b/>
          <w:bCs/>
          <w:rtl/>
        </w:rPr>
        <w:t xml:space="preserve">למתן סיוע להכנת בדיקת היתכנות ראשונית להקמה ותפעול של מפעל </w:t>
      </w:r>
      <w:r w:rsidR="00A7099D">
        <w:rPr>
          <w:rFonts w:hint="cs"/>
          <w:b/>
          <w:bCs/>
        </w:rPr>
        <w:t>GTL</w:t>
      </w:r>
      <w:r w:rsidR="00A7099D">
        <w:rPr>
          <w:rFonts w:hint="cs"/>
          <w:b/>
          <w:bCs/>
          <w:rtl/>
        </w:rPr>
        <w:t xml:space="preserve"> בישראל</w:t>
      </w:r>
    </w:p>
    <w:p w:rsidR="00901B26" w:rsidRPr="00E12F6C" w:rsidRDefault="00901B26" w:rsidP="00901B26">
      <w:pPr>
        <w:jc w:val="both"/>
        <w:rPr>
          <w:rFonts w:ascii="David" w:hAnsi="David"/>
          <w:szCs w:val="24"/>
          <w:rtl/>
        </w:rPr>
      </w:pPr>
    </w:p>
    <w:p w:rsidR="007E57E7" w:rsidRDefault="007E57E7" w:rsidP="007E57E7">
      <w:pPr>
        <w:spacing w:line="276" w:lineRule="auto"/>
        <w:jc w:val="both"/>
        <w:rPr>
          <w:rFonts w:ascii="David" w:hAnsi="David"/>
          <w:szCs w:val="24"/>
          <w:rtl/>
        </w:rPr>
      </w:pPr>
    </w:p>
    <w:p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מסמכי המכרז תוקנו בהתאם לתשובות וההבהרות המפורטות מטה, ועלו מחדש לאתר המשרד.</w:t>
      </w:r>
    </w:p>
    <w:p w:rsidR="007E57E7" w:rsidRPr="009F06D4" w:rsidRDefault="007E57E7" w:rsidP="007E57E7">
      <w:pPr>
        <w:pStyle w:val="affa"/>
        <w:rPr>
          <w:rFonts w:ascii="David" w:hAnsi="David" w:cs="David"/>
          <w:color w:val="FF0000"/>
          <w:sz w:val="24"/>
          <w:szCs w:val="24"/>
        </w:rPr>
      </w:pPr>
      <w:r w:rsidRPr="009F06D4">
        <w:rPr>
          <w:rFonts w:ascii="David" w:hAnsi="David" w:cs="David"/>
          <w:color w:val="FF0000"/>
          <w:sz w:val="24"/>
          <w:szCs w:val="24"/>
          <w:rtl/>
        </w:rPr>
        <w:t xml:space="preserve">הנוסח המתוקן של מסמכי המכרז הוא המחייב. באחריות המציעים להוריד את הנוסח המתוקן, ולפעול על פיו בלבד. </w:t>
      </w:r>
    </w:p>
    <w:p w:rsidR="007E57E7" w:rsidRPr="007E57E7" w:rsidRDefault="007E57E7" w:rsidP="007E57E7">
      <w:pPr>
        <w:spacing w:line="276" w:lineRule="auto"/>
        <w:jc w:val="both"/>
        <w:rPr>
          <w:rFonts w:ascii="David" w:hAnsi="David"/>
          <w:szCs w:val="24"/>
          <w:rtl/>
        </w:rPr>
      </w:pPr>
    </w:p>
    <w:p w:rsidR="007E57E7" w:rsidRDefault="007E57E7" w:rsidP="007E57E7">
      <w:pPr>
        <w:spacing w:line="276" w:lineRule="auto"/>
        <w:jc w:val="both"/>
        <w:rPr>
          <w:rFonts w:ascii="David" w:hAnsi="David"/>
          <w:szCs w:val="24"/>
          <w:rtl/>
        </w:rPr>
      </w:pPr>
    </w:p>
    <w:p w:rsidR="00901B26" w:rsidRPr="00E12F6C" w:rsidRDefault="00901B26" w:rsidP="00A7099D">
      <w:pPr>
        <w:spacing w:line="276" w:lineRule="auto"/>
        <w:jc w:val="both"/>
        <w:rPr>
          <w:rFonts w:ascii="David" w:hAnsi="David"/>
          <w:szCs w:val="24"/>
          <w:rtl/>
        </w:rPr>
      </w:pPr>
      <w:r w:rsidRPr="00E12F6C">
        <w:rPr>
          <w:rFonts w:ascii="David" w:hAnsi="David"/>
          <w:szCs w:val="24"/>
          <w:rtl/>
        </w:rPr>
        <w:t>מועד אחרון להגשת שאלות:</w:t>
      </w:r>
      <w:r w:rsidR="00A7099D">
        <w:rPr>
          <w:rFonts w:ascii="David" w:hAnsi="David" w:hint="cs"/>
          <w:szCs w:val="24"/>
          <w:rtl/>
        </w:rPr>
        <w:t xml:space="preserve"> 19.10.17</w:t>
      </w:r>
      <w:r>
        <w:rPr>
          <w:rFonts w:ascii="David" w:hAnsi="David" w:hint="cs"/>
          <w:szCs w:val="24"/>
          <w:rtl/>
        </w:rPr>
        <w:t xml:space="preserve">  </w:t>
      </w:r>
      <w:r w:rsidR="007E57E7">
        <w:rPr>
          <w:rFonts w:ascii="David" w:hAnsi="David" w:hint="cs"/>
          <w:szCs w:val="24"/>
          <w:rtl/>
        </w:rPr>
        <w:t xml:space="preserve">בשעה </w:t>
      </w:r>
      <w:r w:rsidR="00333306">
        <w:rPr>
          <w:rFonts w:ascii="David" w:hAnsi="David" w:hint="cs"/>
          <w:szCs w:val="24"/>
          <w:rtl/>
        </w:rPr>
        <w:t>14</w:t>
      </w:r>
      <w:r w:rsidR="007E57E7">
        <w:rPr>
          <w:rFonts w:ascii="David" w:hAnsi="David" w:hint="cs"/>
          <w:szCs w:val="24"/>
          <w:rtl/>
        </w:rPr>
        <w:t>.00</w:t>
      </w:r>
    </w:p>
    <w:p w:rsidR="00901B26" w:rsidRPr="00E12F6C" w:rsidRDefault="00901B26" w:rsidP="00A7099D">
      <w:pPr>
        <w:spacing w:line="276" w:lineRule="auto"/>
        <w:jc w:val="both"/>
        <w:rPr>
          <w:rFonts w:ascii="David" w:hAnsi="David"/>
          <w:szCs w:val="24"/>
          <w:rtl/>
        </w:rPr>
      </w:pPr>
      <w:r w:rsidRPr="00E12F6C">
        <w:rPr>
          <w:rFonts w:ascii="David" w:hAnsi="David"/>
          <w:szCs w:val="24"/>
          <w:rtl/>
        </w:rPr>
        <w:t xml:space="preserve">מועד פרסום הבהרות:  </w:t>
      </w:r>
      <w:r w:rsidR="00A7099D">
        <w:rPr>
          <w:rFonts w:ascii="David" w:hAnsi="David" w:hint="cs"/>
          <w:szCs w:val="24"/>
          <w:rtl/>
        </w:rPr>
        <w:t>26.10.17</w:t>
      </w:r>
    </w:p>
    <w:p w:rsidR="00901B26" w:rsidRDefault="00901B26" w:rsidP="00A7099D">
      <w:pPr>
        <w:spacing w:line="276" w:lineRule="auto"/>
        <w:jc w:val="both"/>
        <w:rPr>
          <w:rFonts w:ascii="David" w:hAnsi="David"/>
          <w:szCs w:val="24"/>
          <w:rtl/>
        </w:rPr>
      </w:pPr>
      <w:r w:rsidRPr="00E12F6C">
        <w:rPr>
          <w:rFonts w:ascii="David" w:hAnsi="David"/>
          <w:szCs w:val="24"/>
          <w:rtl/>
        </w:rPr>
        <w:t xml:space="preserve">מועד אחרון להגשת הצעות: </w:t>
      </w:r>
      <w:r w:rsidR="00A7099D">
        <w:rPr>
          <w:rFonts w:ascii="David" w:hAnsi="David" w:hint="cs"/>
          <w:szCs w:val="24"/>
          <w:rtl/>
        </w:rPr>
        <w:t>8.11.17 בשעה 14.00</w:t>
      </w:r>
    </w:p>
    <w:p w:rsidR="00A7099D" w:rsidRDefault="00A7099D" w:rsidP="00A7099D">
      <w:pPr>
        <w:spacing w:line="276" w:lineRule="auto"/>
        <w:jc w:val="both"/>
        <w:rPr>
          <w:rFonts w:ascii="David" w:hAnsi="David"/>
          <w:szCs w:val="24"/>
          <w:rtl/>
        </w:rPr>
      </w:pPr>
    </w:p>
    <w:p w:rsidR="00901B26" w:rsidRPr="00E12F6C" w:rsidRDefault="00901B26" w:rsidP="00901B26">
      <w:pPr>
        <w:jc w:val="both"/>
        <w:rPr>
          <w:rFonts w:ascii="David" w:hAnsi="David"/>
          <w:szCs w:val="24"/>
          <w:rtl/>
        </w:rPr>
      </w:pPr>
    </w:p>
    <w:p w:rsidR="00901B26" w:rsidRPr="00E12F6C" w:rsidRDefault="00901B26" w:rsidP="00901B26">
      <w:pPr>
        <w:jc w:val="both"/>
        <w:rPr>
          <w:rFonts w:ascii="David" w:hAnsi="David"/>
          <w:b/>
          <w:bCs/>
          <w:szCs w:val="24"/>
          <w:rtl/>
        </w:rPr>
      </w:pPr>
      <w:r w:rsidRPr="00E12F6C">
        <w:rPr>
          <w:rFonts w:ascii="David" w:hAnsi="David"/>
          <w:b/>
          <w:bCs/>
          <w:szCs w:val="24"/>
          <w:rtl/>
        </w:rPr>
        <w:t>המשרד מתכבד להשיב לשאלות שהוגשו במסגרת המכרז שבנדון:</w:t>
      </w:r>
    </w:p>
    <w:p w:rsidR="00901B26" w:rsidRPr="00E12F6C" w:rsidRDefault="00901B26" w:rsidP="00901B26">
      <w:pPr>
        <w:rPr>
          <w:rFonts w:ascii="David" w:hAnsi="David"/>
          <w:szCs w:val="24"/>
        </w:rPr>
      </w:pPr>
    </w:p>
    <w:tbl>
      <w:tblPr>
        <w:tblStyle w:val="af3"/>
        <w:bidiVisual/>
        <w:tblW w:w="8990" w:type="dxa"/>
        <w:tblLook w:val="04A0" w:firstRow="1" w:lastRow="0" w:firstColumn="1" w:lastColumn="0" w:noHBand="0" w:noVBand="1"/>
      </w:tblPr>
      <w:tblGrid>
        <w:gridCol w:w="724"/>
        <w:gridCol w:w="1733"/>
        <w:gridCol w:w="2154"/>
        <w:gridCol w:w="2198"/>
        <w:gridCol w:w="2181"/>
      </w:tblGrid>
      <w:tr w:rsidR="007E57E7" w:rsidRPr="00E12F6C" w:rsidTr="00A7099D">
        <w:tc>
          <w:tcPr>
            <w:tcW w:w="724" w:type="dxa"/>
          </w:tcPr>
          <w:p w:rsidR="007E57E7" w:rsidRPr="00E12F6C" w:rsidRDefault="007E57E7" w:rsidP="006D1ACF">
            <w:pPr>
              <w:rPr>
                <w:rFonts w:ascii="David" w:hAnsi="David"/>
                <w:b/>
                <w:bCs/>
                <w:szCs w:val="24"/>
                <w:rtl/>
              </w:rPr>
            </w:pPr>
            <w:r w:rsidRPr="00E12F6C">
              <w:rPr>
                <w:rFonts w:ascii="David" w:hAnsi="David"/>
                <w:b/>
                <w:bCs/>
                <w:szCs w:val="24"/>
                <w:rtl/>
              </w:rPr>
              <w:t>מסד</w:t>
            </w:r>
          </w:p>
        </w:tc>
        <w:tc>
          <w:tcPr>
            <w:tcW w:w="1733" w:type="dxa"/>
          </w:tcPr>
          <w:p w:rsidR="007E57E7" w:rsidRPr="00E12F6C" w:rsidRDefault="007E57E7" w:rsidP="00A7099D">
            <w:pPr>
              <w:ind w:right="431"/>
              <w:rPr>
                <w:rFonts w:ascii="David" w:hAnsi="David"/>
                <w:b/>
                <w:bCs/>
                <w:szCs w:val="24"/>
                <w:rtl/>
              </w:rPr>
            </w:pPr>
            <w:r w:rsidRPr="00E12F6C">
              <w:rPr>
                <w:rFonts w:ascii="David" w:hAnsi="David"/>
                <w:b/>
                <w:bCs/>
                <w:szCs w:val="24"/>
                <w:rtl/>
              </w:rPr>
              <w:t>עמוד במכרז</w:t>
            </w:r>
          </w:p>
        </w:tc>
        <w:tc>
          <w:tcPr>
            <w:tcW w:w="2154" w:type="dxa"/>
          </w:tcPr>
          <w:p w:rsidR="007E57E7" w:rsidRPr="00E12F6C" w:rsidRDefault="007E57E7" w:rsidP="006D1ACF">
            <w:pPr>
              <w:rPr>
                <w:rFonts w:ascii="David" w:hAnsi="David"/>
                <w:b/>
                <w:bCs/>
                <w:szCs w:val="24"/>
                <w:rtl/>
              </w:rPr>
            </w:pPr>
            <w:r w:rsidRPr="00E12F6C">
              <w:rPr>
                <w:rFonts w:ascii="David" w:hAnsi="David"/>
                <w:b/>
                <w:bCs/>
                <w:szCs w:val="24"/>
                <w:rtl/>
              </w:rPr>
              <w:t>מס' סעיף</w:t>
            </w:r>
          </w:p>
        </w:tc>
        <w:tc>
          <w:tcPr>
            <w:tcW w:w="2198" w:type="dxa"/>
          </w:tcPr>
          <w:p w:rsidR="007E57E7" w:rsidRPr="00E12F6C" w:rsidRDefault="007E57E7" w:rsidP="006D1ACF">
            <w:pPr>
              <w:rPr>
                <w:rFonts w:ascii="David" w:hAnsi="David"/>
                <w:b/>
                <w:bCs/>
                <w:szCs w:val="24"/>
                <w:rtl/>
              </w:rPr>
            </w:pPr>
            <w:r w:rsidRPr="00E12F6C">
              <w:rPr>
                <w:rFonts w:ascii="David" w:hAnsi="David"/>
                <w:b/>
                <w:bCs/>
                <w:szCs w:val="24"/>
                <w:rtl/>
              </w:rPr>
              <w:t>פירוט השאלה / בקשת ההבהרה</w:t>
            </w:r>
          </w:p>
        </w:tc>
        <w:tc>
          <w:tcPr>
            <w:tcW w:w="2181" w:type="dxa"/>
          </w:tcPr>
          <w:p w:rsidR="007E57E7" w:rsidRPr="00E12F6C" w:rsidRDefault="007E57E7" w:rsidP="007E57E7">
            <w:pPr>
              <w:rPr>
                <w:rFonts w:ascii="David" w:hAnsi="David"/>
                <w:b/>
                <w:bCs/>
                <w:szCs w:val="24"/>
                <w:rtl/>
              </w:rPr>
            </w:pPr>
            <w:r w:rsidRPr="00E12F6C">
              <w:rPr>
                <w:rFonts w:ascii="David" w:hAnsi="David"/>
                <w:b/>
                <w:bCs/>
                <w:szCs w:val="24"/>
                <w:rtl/>
              </w:rPr>
              <w:t xml:space="preserve">תשובות הבהרה </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t>1</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 4 סעיף 2.2.4.3:</w:t>
            </w:r>
            <w:bookmarkStart w:id="0" w:name="_GoBack"/>
            <w:bookmarkEnd w:id="0"/>
          </w:p>
        </w:tc>
        <w:tc>
          <w:tcPr>
            <w:tcW w:w="2154"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ההצעה כוללת משתתף שהינו בעל ידע וניסיון מוכח בייעוץ הנדסי או תכנון או ניהול פרויקט להקמה של לפחות שני מתקנים פטרוכימיים או מתקני אנרגיה שהוקמו בהיקף של 100 מיליון דולר לפחות לכל מתקן.</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 xml:space="preserve">נדרשת הבהרה: המציע הוא מהנדס, </w:t>
            </w:r>
            <w:r w:rsidRPr="00A7099D">
              <w:rPr>
                <w:rFonts w:ascii="David" w:eastAsia="Calibri" w:hAnsi="David"/>
                <w:szCs w:val="24"/>
                <w:rtl/>
              </w:rPr>
              <w:br/>
              <w:t xml:space="preserve">ד"ר להנדסה כימית ,בעל ניסיון של עשרות שנים בהן ניהל חברת הנדסה אשר הקימה פרוייקטים פטרוכימיים ומתקני אנרגיה רבים בתחום ובסדרי הגודל הנדרשים ואף למעלה מכך. ההבהרה הנדרשת היא שהניסיון הוא של יו"ר ובעל החברה (כיום חברת יחיד) שהינו בעל הידע הנדרש להבדיל מהחברה עצמה. </w:t>
            </w:r>
          </w:p>
        </w:tc>
        <w:tc>
          <w:tcPr>
            <w:tcW w:w="2181" w:type="dxa"/>
          </w:tcPr>
          <w:p w:rsidR="00A7099D" w:rsidRPr="00A00563" w:rsidRDefault="00A00563" w:rsidP="006F2296">
            <w:pPr>
              <w:spacing w:line="360" w:lineRule="auto"/>
              <w:rPr>
                <w:rFonts w:ascii="David" w:hAnsi="David"/>
                <w:b/>
                <w:bCs/>
                <w:color w:val="FF0000"/>
                <w:szCs w:val="24"/>
                <w:rtl/>
              </w:rPr>
            </w:pPr>
            <w:r w:rsidRPr="00A00563">
              <w:rPr>
                <w:rFonts w:ascii="David" w:hAnsi="David" w:hint="cs"/>
                <w:b/>
                <w:bCs/>
                <w:szCs w:val="24"/>
                <w:rtl/>
              </w:rPr>
              <w:t>לשון הסעיף האמור אינו שולל את המבוקש</w:t>
            </w:r>
            <w:r w:rsidR="006F2296">
              <w:rPr>
                <w:rFonts w:ascii="David" w:hAnsi="David" w:hint="cs"/>
                <w:b/>
                <w:bCs/>
                <w:szCs w:val="24"/>
                <w:rtl/>
              </w:rPr>
              <w:t>,</w:t>
            </w:r>
            <w:r w:rsidRPr="00A00563">
              <w:rPr>
                <w:rFonts w:ascii="David" w:hAnsi="David" w:hint="cs"/>
                <w:b/>
                <w:bCs/>
                <w:szCs w:val="24"/>
                <w:rtl/>
              </w:rPr>
              <w:t xml:space="preserve"> </w:t>
            </w:r>
            <w:r w:rsidR="006F2296">
              <w:rPr>
                <w:rFonts w:ascii="David" w:hAnsi="David" w:hint="cs"/>
                <w:b/>
                <w:bCs/>
                <w:szCs w:val="24"/>
                <w:rtl/>
              </w:rPr>
              <w:t>מאחר והידע מצוי בחברה, גם אם בקרב בעליה.</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t>2</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 5  סעיף 2.2.7.4:</w:t>
            </w:r>
          </w:p>
        </w:tc>
        <w:tc>
          <w:tcPr>
            <w:tcW w:w="2154"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 xml:space="preserve">ביחס לבעל תשתית מקומית - פירוט מתקני התשתית </w:t>
            </w:r>
            <w:r w:rsidRPr="00A7099D">
              <w:rPr>
                <w:rFonts w:ascii="David" w:eastAsia="Calibri" w:hAnsi="David"/>
                <w:szCs w:val="24"/>
                <w:rtl/>
              </w:rPr>
              <w:lastRenderedPageBreak/>
              <w:t>המקומיים המצויים בבעלותו של המציע;</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lastRenderedPageBreak/>
              <w:t xml:space="preserve">נדרשת הבהרה כי בעל תשתית מקומית יכול להיות משתתף  מבין </w:t>
            </w:r>
            <w:r w:rsidRPr="00A7099D">
              <w:rPr>
                <w:rFonts w:ascii="David" w:eastAsia="Calibri" w:hAnsi="David"/>
                <w:szCs w:val="24"/>
                <w:rtl/>
              </w:rPr>
              <w:lastRenderedPageBreak/>
              <w:t>השותפים להצעה ולאו דווקא המציע עצמו.</w:t>
            </w:r>
          </w:p>
        </w:tc>
        <w:tc>
          <w:tcPr>
            <w:tcW w:w="2181" w:type="dxa"/>
          </w:tcPr>
          <w:p w:rsidR="00A7099D" w:rsidRPr="00A00563" w:rsidRDefault="00A00563" w:rsidP="00D95F3C">
            <w:pPr>
              <w:spacing w:line="360" w:lineRule="auto"/>
              <w:rPr>
                <w:rFonts w:ascii="David" w:hAnsi="David"/>
                <w:b/>
                <w:bCs/>
                <w:color w:val="FF0000"/>
                <w:szCs w:val="24"/>
                <w:rtl/>
              </w:rPr>
            </w:pPr>
            <w:r w:rsidRPr="00A00563">
              <w:rPr>
                <w:rFonts w:ascii="David" w:hAnsi="David" w:hint="cs"/>
                <w:b/>
                <w:bCs/>
                <w:szCs w:val="24"/>
                <w:rtl/>
              </w:rPr>
              <w:lastRenderedPageBreak/>
              <w:t xml:space="preserve">הדבר </w:t>
            </w:r>
            <w:r w:rsidR="006F2296">
              <w:rPr>
                <w:rFonts w:ascii="David" w:hAnsi="David" w:hint="cs"/>
                <w:b/>
                <w:bCs/>
                <w:szCs w:val="24"/>
                <w:rtl/>
              </w:rPr>
              <w:t>מצוי</w:t>
            </w:r>
            <w:r w:rsidRPr="00A00563">
              <w:rPr>
                <w:rFonts w:ascii="David" w:hAnsi="David" w:hint="cs"/>
                <w:b/>
                <w:bCs/>
                <w:szCs w:val="24"/>
                <w:rtl/>
              </w:rPr>
              <w:t>ן במפורש ב</w:t>
            </w:r>
            <w:r w:rsidR="00D95F3C">
              <w:rPr>
                <w:rFonts w:ascii="David" w:hAnsi="David" w:hint="cs"/>
                <w:b/>
                <w:bCs/>
                <w:szCs w:val="24"/>
                <w:rtl/>
              </w:rPr>
              <w:t>מסמכי המכרז</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lastRenderedPageBreak/>
              <w:t>3</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 9  סעיף 6.3.1.4:</w:t>
            </w:r>
          </w:p>
        </w:tc>
        <w:tc>
          <w:tcPr>
            <w:tcW w:w="2154" w:type="dxa"/>
          </w:tcPr>
          <w:p w:rsidR="00A7099D" w:rsidRPr="00A7099D" w:rsidRDefault="00A7099D" w:rsidP="00A7099D">
            <w:pPr>
              <w:spacing w:line="360" w:lineRule="auto"/>
              <w:rPr>
                <w:rFonts w:ascii="David" w:hAnsi="David"/>
                <w:b/>
                <w:bCs/>
                <w:szCs w:val="24"/>
              </w:rPr>
            </w:pPr>
            <w:r w:rsidRPr="00A7099D">
              <w:rPr>
                <w:rFonts w:ascii="David" w:eastAsia="Calibri" w:hAnsi="David"/>
                <w:szCs w:val="24"/>
                <w:rtl/>
              </w:rPr>
              <w:t>ועדת השיפוט מצאה כי ראוי שהמציע יממן את העלות של סעיפים מסוימים בהצעתו.</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נדרשת הבהרה בדבר הדרישה למימון חלקי או מלא  על-ידי המציע.</w:t>
            </w:r>
          </w:p>
        </w:tc>
        <w:tc>
          <w:tcPr>
            <w:tcW w:w="2181" w:type="dxa"/>
          </w:tcPr>
          <w:p w:rsidR="00A7099D" w:rsidRPr="00A7099D" w:rsidRDefault="00984F32" w:rsidP="00D95F3C">
            <w:pPr>
              <w:spacing w:line="360" w:lineRule="auto"/>
              <w:rPr>
                <w:rFonts w:ascii="David" w:hAnsi="David"/>
                <w:b/>
                <w:bCs/>
                <w:szCs w:val="24"/>
                <w:rtl/>
              </w:rPr>
            </w:pPr>
            <w:r>
              <w:rPr>
                <w:rFonts w:ascii="David" w:hAnsi="David" w:hint="cs"/>
                <w:b/>
                <w:bCs/>
                <w:szCs w:val="24"/>
                <w:rtl/>
              </w:rPr>
              <w:t xml:space="preserve">התמיכה במסגרת מכרז זה כוללת את כל מרכיבי הבדיקה המפורטים </w:t>
            </w:r>
            <w:r w:rsidR="00D95F3C">
              <w:rPr>
                <w:rFonts w:ascii="David" w:hAnsi="David" w:hint="cs"/>
                <w:b/>
                <w:bCs/>
                <w:szCs w:val="24"/>
                <w:rtl/>
              </w:rPr>
              <w:t>במסמכי המכרז</w:t>
            </w:r>
            <w:r>
              <w:rPr>
                <w:rFonts w:ascii="David" w:hAnsi="David" w:hint="cs"/>
                <w:b/>
                <w:bCs/>
                <w:szCs w:val="24"/>
                <w:rtl/>
              </w:rPr>
              <w:t xml:space="preserve">. ועדת השיפוט רשאית להחליט כי </w:t>
            </w:r>
            <w:r w:rsidR="00BF2931">
              <w:rPr>
                <w:rFonts w:ascii="David" w:hAnsi="David" w:hint="cs"/>
                <w:b/>
                <w:bCs/>
                <w:szCs w:val="24"/>
                <w:rtl/>
              </w:rPr>
              <w:t>סעיפים מסוי</w:t>
            </w:r>
            <w:r>
              <w:rPr>
                <w:rFonts w:ascii="David" w:hAnsi="David" w:hint="cs"/>
                <w:b/>
                <w:bCs/>
                <w:szCs w:val="24"/>
                <w:rtl/>
              </w:rPr>
              <w:t xml:space="preserve">מים בהצעה חורגים מהמרכיבים המפורטים בסעיף האמור. </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t>4</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 11 סעיף 9.9:</w:t>
            </w:r>
          </w:p>
        </w:tc>
        <w:tc>
          <w:tcPr>
            <w:tcW w:w="2154"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ו/או באתר מנהל הרכש של משרד האוצר. </w:t>
            </w:r>
            <w:r w:rsidRPr="00A7099D">
              <w:rPr>
                <w:rFonts w:ascii="David" w:eastAsia="Calibri" w:hAnsi="David"/>
                <w:szCs w:val="24"/>
                <w:rtl/>
              </w:rPr>
              <w:br/>
              <w:t xml:space="preserve">באחריות </w:t>
            </w:r>
            <w:r w:rsidRPr="00A7099D">
              <w:rPr>
                <w:rFonts w:ascii="David" w:eastAsia="Calibri" w:hAnsi="David"/>
                <w:szCs w:val="24"/>
              </w:rPr>
              <w:t>www.energy.gov.il</w:t>
            </w:r>
            <w:r w:rsidRPr="00A7099D">
              <w:rPr>
                <w:rFonts w:ascii="David" w:eastAsia="Calibri" w:hAnsi="David"/>
                <w:szCs w:val="24"/>
                <w:rtl/>
              </w:rPr>
              <w:t xml:space="preserve"> : של המשרד שכתובתו המציעים לבדוק מפעם לפעם אם חלו שינויים במסמכי המכרז.</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נדרשת הבהרה  - מהו המועד האחרון בו יכול המשרד לבצע שינויים במכרז?</w:t>
            </w:r>
          </w:p>
        </w:tc>
        <w:tc>
          <w:tcPr>
            <w:tcW w:w="2181" w:type="dxa"/>
          </w:tcPr>
          <w:p w:rsidR="00A7099D" w:rsidRPr="006F2296" w:rsidRDefault="00E22086" w:rsidP="00D95F3C">
            <w:pPr>
              <w:spacing w:line="360" w:lineRule="auto"/>
              <w:rPr>
                <w:rFonts w:ascii="David" w:hAnsi="David"/>
                <w:b/>
                <w:bCs/>
                <w:color w:val="FF0000"/>
                <w:szCs w:val="24"/>
                <w:rtl/>
              </w:rPr>
            </w:pPr>
            <w:r>
              <w:rPr>
                <w:rFonts w:ascii="David" w:hAnsi="David" w:hint="cs"/>
                <w:b/>
                <w:bCs/>
                <w:szCs w:val="24"/>
                <w:rtl/>
              </w:rPr>
              <w:t>כפי</w:t>
            </w:r>
            <w:r w:rsidRPr="00E22086">
              <w:rPr>
                <w:rFonts w:ascii="David" w:hAnsi="David" w:hint="cs"/>
                <w:b/>
                <w:bCs/>
                <w:szCs w:val="24"/>
                <w:rtl/>
              </w:rPr>
              <w:t xml:space="preserve"> שמופיע במסכי המכרז.</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t>5</w:t>
            </w:r>
          </w:p>
        </w:tc>
        <w:tc>
          <w:tcPr>
            <w:tcW w:w="1733" w:type="dxa"/>
          </w:tcPr>
          <w:p w:rsidR="00A7099D" w:rsidRPr="00A7099D" w:rsidRDefault="00A7099D" w:rsidP="00A7099D">
            <w:pPr>
              <w:numPr>
                <w:ilvl w:val="0"/>
                <w:numId w:val="19"/>
              </w:numPr>
              <w:spacing w:after="160" w:line="360" w:lineRule="auto"/>
              <w:contextualSpacing/>
              <w:jc w:val="both"/>
              <w:rPr>
                <w:rFonts w:ascii="David" w:eastAsia="Calibri" w:hAnsi="David"/>
                <w:szCs w:val="24"/>
              </w:rPr>
            </w:pPr>
            <w:r w:rsidRPr="00A7099D">
              <w:rPr>
                <w:rFonts w:ascii="David" w:eastAsia="Calibri" w:hAnsi="David"/>
                <w:szCs w:val="24"/>
                <w:rtl/>
              </w:rPr>
              <w:t xml:space="preserve">עמודים: 11, 4 ו-21 בהתאמה סעיפים: 9.11, </w:t>
            </w:r>
            <w:r w:rsidRPr="00A7099D">
              <w:rPr>
                <w:rFonts w:ascii="David" w:eastAsia="Calibri" w:hAnsi="David"/>
                <w:szCs w:val="24"/>
                <w:rtl/>
              </w:rPr>
              <w:lastRenderedPageBreak/>
              <w:t>2.2.6 וחלק 3.2:</w:t>
            </w:r>
          </w:p>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סעיף 9.11:</w:t>
            </w:r>
          </w:p>
        </w:tc>
        <w:tc>
          <w:tcPr>
            <w:tcW w:w="2154" w:type="dxa"/>
          </w:tcPr>
          <w:p w:rsidR="00D95F3C" w:rsidRDefault="00A7099D" w:rsidP="00E22086">
            <w:pPr>
              <w:spacing w:after="160" w:line="360" w:lineRule="auto"/>
              <w:contextualSpacing/>
              <w:rPr>
                <w:rFonts w:ascii="David" w:eastAsia="Calibri" w:hAnsi="David"/>
                <w:szCs w:val="24"/>
                <w:rtl/>
              </w:rPr>
            </w:pPr>
            <w:r w:rsidRPr="00A7099D">
              <w:rPr>
                <w:rFonts w:ascii="David" w:eastAsia="Calibri" w:hAnsi="David"/>
                <w:szCs w:val="24"/>
                <w:rtl/>
              </w:rPr>
              <w:lastRenderedPageBreak/>
              <w:t xml:space="preserve">על כל מציע להגיש הצעה אחת בלבד. ועדת המכרזים שומרת לעצמה את הזכות לפסול את הצעותיו של מציע </w:t>
            </w:r>
            <w:r w:rsidRPr="00A7099D">
              <w:rPr>
                <w:rFonts w:ascii="David" w:eastAsia="Calibri" w:hAnsi="David"/>
                <w:szCs w:val="24"/>
                <w:rtl/>
              </w:rPr>
              <w:lastRenderedPageBreak/>
              <w:t>אשר יגיש יותר מהצעה אחת במכרז.</w:t>
            </w:r>
          </w:p>
          <w:p w:rsidR="00A7099D" w:rsidRPr="00A7099D" w:rsidRDefault="00A7099D" w:rsidP="00E22086">
            <w:pPr>
              <w:spacing w:after="160" w:line="360" w:lineRule="auto"/>
              <w:contextualSpacing/>
              <w:rPr>
                <w:rFonts w:ascii="David" w:eastAsia="Calibri" w:hAnsi="David"/>
                <w:szCs w:val="24"/>
                <w:rtl/>
              </w:rPr>
            </w:pPr>
            <w:r w:rsidRPr="00A7099D">
              <w:rPr>
                <w:rFonts w:ascii="David" w:eastAsia="Calibri" w:hAnsi="David"/>
                <w:szCs w:val="24"/>
                <w:rtl/>
              </w:rPr>
              <w:t>סעיף 2.2.6: מובהר בזאת כי אין מניעה שמשתתף מסוים יהיה חלק. מכמה הצעות ובלבד שהמדובר על הצעות ביחס לאתרים שונים.</w:t>
            </w:r>
          </w:p>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 xml:space="preserve">חלק 3.2: על המציע להציג במסגרת הצעתו את האתר/ים שייבחנו במסגרת הבדיקה. הבדיקה תתבצע ביחס להקמת מפעל </w:t>
            </w:r>
            <w:r w:rsidRPr="00A7099D">
              <w:rPr>
                <w:rFonts w:ascii="David" w:eastAsia="Calibri" w:hAnsi="David"/>
                <w:szCs w:val="24"/>
              </w:rPr>
              <w:t>GTL</w:t>
            </w:r>
            <w:r w:rsidRPr="00A7099D">
              <w:rPr>
                <w:rFonts w:ascii="David" w:eastAsia="Calibri" w:hAnsi="David"/>
                <w:szCs w:val="24"/>
                <w:rtl/>
              </w:rPr>
              <w:t>.</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lastRenderedPageBreak/>
              <w:t xml:space="preserve">נדרשת הבהרה לסתירה  הקיימת בסעיפים השונים - בין סעיף 9.11 לפיו על כל מציע להגיש הצעה אחת בלבד לבין סעיף </w:t>
            </w:r>
            <w:r w:rsidRPr="00A7099D">
              <w:rPr>
                <w:rFonts w:ascii="David" w:eastAsia="Calibri" w:hAnsi="David"/>
                <w:szCs w:val="24"/>
                <w:rtl/>
              </w:rPr>
              <w:lastRenderedPageBreak/>
              <w:t>2.2.6 לפיה אין מניעה כי משתתף יהיה חלק מכמה הצעות (ובלבד שמדובר במספר אתרים), וכן גם ביחס לחלק 3 לפיה כל בדיקה יכולה להתייחס למספר אתרים.</w:t>
            </w:r>
          </w:p>
        </w:tc>
        <w:tc>
          <w:tcPr>
            <w:tcW w:w="2181" w:type="dxa"/>
          </w:tcPr>
          <w:p w:rsidR="00315F17" w:rsidRDefault="00A70455" w:rsidP="00315F17">
            <w:pPr>
              <w:spacing w:line="360" w:lineRule="auto"/>
              <w:rPr>
                <w:rFonts w:ascii="David" w:hAnsi="David"/>
                <w:b/>
                <w:bCs/>
                <w:szCs w:val="24"/>
                <w:rtl/>
              </w:rPr>
            </w:pPr>
            <w:r>
              <w:rPr>
                <w:rFonts w:ascii="David" w:hAnsi="David" w:hint="cs"/>
                <w:b/>
                <w:bCs/>
                <w:szCs w:val="24"/>
                <w:rtl/>
              </w:rPr>
              <w:lastRenderedPageBreak/>
              <w:t xml:space="preserve">אין סתירה. כל הצעה כוללת את המציע וכן גופים נוספים השותפים בהצעה, בהתאם למפורט בסעיף 2.2. </w:t>
            </w:r>
            <w:r w:rsidR="00EC4B25">
              <w:rPr>
                <w:rFonts w:ascii="David" w:hAnsi="David" w:hint="cs"/>
                <w:b/>
                <w:bCs/>
                <w:szCs w:val="24"/>
                <w:rtl/>
              </w:rPr>
              <w:t xml:space="preserve">המציע </w:t>
            </w:r>
            <w:r w:rsidR="00EC4B25">
              <w:rPr>
                <w:rFonts w:ascii="David" w:hAnsi="David" w:hint="cs"/>
                <w:b/>
                <w:bCs/>
                <w:szCs w:val="24"/>
                <w:rtl/>
              </w:rPr>
              <w:lastRenderedPageBreak/>
              <w:t xml:space="preserve">יכול להגיש הצעה אחת במסגרת המכרז. כל </w:t>
            </w:r>
            <w:r w:rsidR="00315F17">
              <w:rPr>
                <w:rFonts w:ascii="David" w:hAnsi="David" w:hint="cs"/>
                <w:b/>
                <w:bCs/>
                <w:szCs w:val="24"/>
                <w:rtl/>
              </w:rPr>
              <w:t>אחד מהגופים הנוספים יכול ליטול חלק ביותר מהצעה אחת. במקרה כזה, ההצעות השונות בהן הוא נוטל חלק חייבות להתייחס לאתרים ספציפיים השונים אחד מהשני.</w:t>
            </w:r>
          </w:p>
          <w:p w:rsidR="00EC4B25" w:rsidRPr="00A7099D" w:rsidRDefault="00315F17" w:rsidP="00315F17">
            <w:pPr>
              <w:spacing w:line="360" w:lineRule="auto"/>
              <w:rPr>
                <w:rFonts w:ascii="David" w:hAnsi="David"/>
                <w:b/>
                <w:bCs/>
                <w:szCs w:val="24"/>
                <w:rtl/>
              </w:rPr>
            </w:pPr>
            <w:r>
              <w:rPr>
                <w:rFonts w:ascii="David" w:hAnsi="David" w:hint="cs"/>
                <w:b/>
                <w:bCs/>
                <w:szCs w:val="24"/>
                <w:rtl/>
              </w:rPr>
              <w:t>אין קשר לכך ש</w:t>
            </w:r>
            <w:r w:rsidR="00EC4B25">
              <w:rPr>
                <w:rFonts w:ascii="David" w:hAnsi="David" w:hint="cs"/>
                <w:b/>
                <w:bCs/>
                <w:szCs w:val="24"/>
                <w:rtl/>
              </w:rPr>
              <w:t>כל הצעה יכולה להתייחס ליותר מאתר אחד, כפי שמצוין בעמוד</w:t>
            </w:r>
            <w:r w:rsidR="00BF2931">
              <w:rPr>
                <w:rFonts w:ascii="David" w:hAnsi="David" w:hint="cs"/>
                <w:b/>
                <w:bCs/>
                <w:szCs w:val="24"/>
                <w:rtl/>
              </w:rPr>
              <w:t xml:space="preserve"> 2</w:t>
            </w:r>
            <w:r>
              <w:rPr>
                <w:rFonts w:ascii="David" w:hAnsi="David" w:hint="cs"/>
                <w:b/>
                <w:bCs/>
                <w:szCs w:val="24"/>
                <w:rtl/>
              </w:rPr>
              <w:t xml:space="preserve"> סעיף 1.5, תוך ציון </w:t>
            </w:r>
            <w:r w:rsidR="00EC4B25">
              <w:rPr>
                <w:rFonts w:ascii="David" w:hAnsi="David" w:hint="cs"/>
                <w:b/>
                <w:bCs/>
                <w:szCs w:val="24"/>
                <w:rtl/>
              </w:rPr>
              <w:t>מיקומים ספציפיים</w:t>
            </w:r>
            <w:r>
              <w:rPr>
                <w:rFonts w:ascii="David" w:hAnsi="David" w:hint="cs"/>
                <w:b/>
                <w:bCs/>
                <w:szCs w:val="24"/>
                <w:rtl/>
              </w:rPr>
              <w:t xml:space="preserve"> לכל אתר</w:t>
            </w:r>
            <w:r w:rsidR="00EC4B25">
              <w:rPr>
                <w:rFonts w:ascii="David" w:hAnsi="David" w:hint="cs"/>
                <w:b/>
                <w:bCs/>
                <w:szCs w:val="24"/>
                <w:rtl/>
              </w:rPr>
              <w:t xml:space="preserve">. </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lastRenderedPageBreak/>
              <w:t>6</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 26 סעיף 6 ב':</w:t>
            </w:r>
          </w:p>
        </w:tc>
        <w:tc>
          <w:tcPr>
            <w:tcW w:w="2154"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במידה והזוכה יפסיק את ביצוע בדיקת ההיתכנות הראשונית או לא יסיימה בהתאם לתנאי מכרז זה</w:t>
            </w:r>
            <w:r w:rsidRPr="00A7099D">
              <w:rPr>
                <w:rFonts w:ascii="David" w:eastAsia="Calibri" w:hAnsi="David"/>
                <w:szCs w:val="24"/>
              </w:rPr>
              <w:t xml:space="preserve"> </w:t>
            </w:r>
            <w:r w:rsidRPr="00A7099D">
              <w:rPr>
                <w:rFonts w:ascii="David" w:eastAsia="Calibri" w:hAnsi="David"/>
                <w:szCs w:val="24"/>
                <w:rtl/>
              </w:rPr>
              <w:t>מכל סיבה שהיא, למעט עקב כוח עליון או סיבה התלויה במשרד בלבד, לא יהיה המשרד חייב בביצוע</w:t>
            </w:r>
            <w:r w:rsidRPr="00A7099D">
              <w:rPr>
                <w:rFonts w:ascii="David" w:eastAsia="Calibri" w:hAnsi="David"/>
                <w:szCs w:val="24"/>
              </w:rPr>
              <w:t xml:space="preserve"> </w:t>
            </w:r>
            <w:r w:rsidRPr="00A7099D">
              <w:rPr>
                <w:rFonts w:ascii="David" w:eastAsia="Calibri" w:hAnsi="David"/>
                <w:szCs w:val="24"/>
                <w:rtl/>
              </w:rPr>
              <w:t>כל תשלום לזוכה. מוסכם בזה על הצדדים כי אי השלמת התוכנית תיחשב כאי ביצוע התחייבויות</w:t>
            </w:r>
            <w:r w:rsidRPr="00A7099D">
              <w:rPr>
                <w:rFonts w:ascii="David" w:eastAsia="Calibri" w:hAnsi="David"/>
                <w:szCs w:val="24"/>
              </w:rPr>
              <w:t xml:space="preserve"> </w:t>
            </w:r>
            <w:r w:rsidRPr="00A7099D">
              <w:rPr>
                <w:rFonts w:ascii="David" w:eastAsia="Calibri" w:hAnsi="David"/>
                <w:szCs w:val="24"/>
                <w:rtl/>
              </w:rPr>
              <w:t>הזוכה במסגרת מכרז זה, ויהיה עליו להחזיר למשרד את מלוא התשלומים שקיבל מהמשרד עד לאותו</w:t>
            </w:r>
            <w:r w:rsidRPr="00A7099D">
              <w:rPr>
                <w:rFonts w:ascii="David" w:eastAsia="Calibri" w:hAnsi="David"/>
                <w:szCs w:val="24"/>
              </w:rPr>
              <w:t xml:space="preserve"> </w:t>
            </w:r>
            <w:r w:rsidRPr="00A7099D">
              <w:rPr>
                <w:rFonts w:ascii="David" w:eastAsia="Calibri" w:hAnsi="David"/>
                <w:szCs w:val="24"/>
                <w:rtl/>
              </w:rPr>
              <w:t xml:space="preserve">שלב. כמו כן, המשרד </w:t>
            </w:r>
            <w:r w:rsidRPr="00A7099D">
              <w:rPr>
                <w:rFonts w:ascii="David" w:eastAsia="Calibri" w:hAnsi="David"/>
                <w:szCs w:val="24"/>
                <w:rtl/>
              </w:rPr>
              <w:lastRenderedPageBreak/>
              <w:t>יהיה רשאי לגבות את החזר התשלומים מכל תשלום אחר המגיע לזוכה מהמשרד.</w:t>
            </w:r>
          </w:p>
        </w:tc>
        <w:tc>
          <w:tcPr>
            <w:tcW w:w="2198" w:type="dxa"/>
          </w:tcPr>
          <w:p w:rsidR="00A7099D" w:rsidRPr="00A7099D" w:rsidRDefault="00A7099D" w:rsidP="00A7099D">
            <w:pPr>
              <w:spacing w:after="160" w:line="360" w:lineRule="auto"/>
              <w:contextualSpacing/>
              <w:jc w:val="both"/>
              <w:rPr>
                <w:rFonts w:ascii="David" w:eastAsia="Calibri" w:hAnsi="David"/>
                <w:szCs w:val="24"/>
                <w:rtl/>
              </w:rPr>
            </w:pPr>
            <w:r w:rsidRPr="00A7099D">
              <w:rPr>
                <w:rFonts w:ascii="David" w:eastAsia="Calibri" w:hAnsi="David"/>
                <w:szCs w:val="24"/>
                <w:rtl/>
              </w:rPr>
              <w:lastRenderedPageBreak/>
              <w:t>נדרשת הבהרה: מדוע על הזוכה להחזיר תשלומים אם לא סיים את כל שלושת השלבים – והתכנית לא הושלמה.</w:t>
            </w:r>
          </w:p>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היה והזוכה מבין בסיומו של השלב השני (חלק 2 – אפיון ראשוני של מפע</w:t>
            </w:r>
            <w:r w:rsidR="006F2296">
              <w:rPr>
                <w:rFonts w:ascii="David" w:eastAsia="Calibri" w:hAnsi="David"/>
                <w:szCs w:val="24"/>
                <w:rtl/>
              </w:rPr>
              <w:t>ל אופטימלי) כי אין התכנות לפרוי</w:t>
            </w:r>
            <w:r w:rsidRPr="00A7099D">
              <w:rPr>
                <w:rFonts w:ascii="David" w:eastAsia="Calibri" w:hAnsi="David"/>
                <w:szCs w:val="24"/>
                <w:rtl/>
              </w:rPr>
              <w:t>קט, אין זה סביר כי עליו להחזיר תשלומים שכבר קיבל עבור שלבים שסיים.</w:t>
            </w:r>
          </w:p>
        </w:tc>
        <w:tc>
          <w:tcPr>
            <w:tcW w:w="2181" w:type="dxa"/>
          </w:tcPr>
          <w:p w:rsidR="00A7099D" w:rsidRPr="00B92309" w:rsidRDefault="00016EB2" w:rsidP="00A7099D">
            <w:pPr>
              <w:spacing w:line="360" w:lineRule="auto"/>
              <w:rPr>
                <w:rFonts w:ascii="David" w:hAnsi="David"/>
                <w:b/>
                <w:bCs/>
                <w:sz w:val="20"/>
                <w:szCs w:val="20"/>
                <w:rtl/>
              </w:rPr>
            </w:pPr>
            <w:r w:rsidRPr="00C434DA">
              <w:rPr>
                <w:rFonts w:ascii="David" w:hAnsi="David" w:hint="cs"/>
                <w:b/>
                <w:bCs/>
                <w:szCs w:val="24"/>
                <w:rtl/>
              </w:rPr>
              <w:t xml:space="preserve">הסעיף המדובר </w:t>
            </w:r>
            <w:r w:rsidR="00C434DA" w:rsidRPr="00C434DA">
              <w:rPr>
                <w:rFonts w:ascii="David" w:hAnsi="David" w:hint="cs"/>
                <w:b/>
                <w:bCs/>
                <w:szCs w:val="24"/>
                <w:rtl/>
              </w:rPr>
              <w:t>(6.ב.) נמחק.</w:t>
            </w:r>
          </w:p>
        </w:tc>
      </w:tr>
      <w:tr w:rsidR="00A7099D" w:rsidRPr="00E12F6C" w:rsidTr="00A7099D">
        <w:tc>
          <w:tcPr>
            <w:tcW w:w="724" w:type="dxa"/>
          </w:tcPr>
          <w:p w:rsidR="00A7099D" w:rsidRPr="00A7099D" w:rsidRDefault="00A7099D" w:rsidP="00A7099D">
            <w:pPr>
              <w:spacing w:line="360" w:lineRule="auto"/>
              <w:rPr>
                <w:rFonts w:ascii="David" w:hAnsi="David"/>
                <w:b/>
                <w:bCs/>
                <w:szCs w:val="24"/>
                <w:rtl/>
              </w:rPr>
            </w:pPr>
            <w:r w:rsidRPr="00A7099D">
              <w:rPr>
                <w:rFonts w:ascii="David" w:hAnsi="David"/>
                <w:b/>
                <w:bCs/>
                <w:szCs w:val="24"/>
                <w:rtl/>
              </w:rPr>
              <w:lastRenderedPageBreak/>
              <w:t>7</w:t>
            </w:r>
          </w:p>
        </w:tc>
        <w:tc>
          <w:tcPr>
            <w:tcW w:w="1733"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עמודים 6 ו-13 סעיפים: 5.4 ו-11.4 בהתאמה:</w:t>
            </w:r>
          </w:p>
        </w:tc>
        <w:tc>
          <w:tcPr>
            <w:tcW w:w="2154"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סעיף 5.4: את המעטפה יש להכניס לתיבת המכרזים... לא יאוחר מיום 8.11.17 בשעה 14:00.</w:t>
            </w:r>
            <w:r w:rsidRPr="00A7099D">
              <w:rPr>
                <w:rFonts w:ascii="David" w:eastAsia="Calibri" w:hAnsi="David"/>
                <w:szCs w:val="24"/>
                <w:rtl/>
              </w:rPr>
              <w:br/>
              <w:t>סעיף 11.4: ריכוז השאלות והתשובות יפורסמו באתר הרכש הממשלתי ובאתר האינטרנט של המשרד החל מיום 26.10.17....</w:t>
            </w:r>
          </w:p>
        </w:tc>
        <w:tc>
          <w:tcPr>
            <w:tcW w:w="2198" w:type="dxa"/>
          </w:tcPr>
          <w:p w:rsidR="00A7099D" w:rsidRPr="00A7099D" w:rsidRDefault="00A7099D" w:rsidP="00A7099D">
            <w:pPr>
              <w:spacing w:line="360" w:lineRule="auto"/>
              <w:rPr>
                <w:rFonts w:ascii="David" w:hAnsi="David"/>
                <w:b/>
                <w:bCs/>
                <w:szCs w:val="24"/>
                <w:rtl/>
              </w:rPr>
            </w:pPr>
            <w:r w:rsidRPr="00A7099D">
              <w:rPr>
                <w:rFonts w:ascii="David" w:eastAsia="Calibri" w:hAnsi="David"/>
                <w:szCs w:val="24"/>
                <w:rtl/>
              </w:rPr>
              <w:t xml:space="preserve">נבקש לקבל הארכה להגשה: </w:t>
            </w:r>
            <w:r w:rsidRPr="00A7099D">
              <w:rPr>
                <w:rFonts w:ascii="David" w:eastAsia="Calibri" w:hAnsi="David"/>
                <w:szCs w:val="24"/>
                <w:rtl/>
              </w:rPr>
              <w:br/>
              <w:t>שלושה שבועות מיום פרסום התשובות, בכדי שנוכל להגיש בקשה ראויה ומלאה.</w:t>
            </w:r>
          </w:p>
        </w:tc>
        <w:tc>
          <w:tcPr>
            <w:tcW w:w="2181" w:type="dxa"/>
          </w:tcPr>
          <w:p w:rsidR="00A7099D" w:rsidRPr="00A7099D" w:rsidRDefault="001826BD" w:rsidP="005211C9">
            <w:pPr>
              <w:spacing w:line="360" w:lineRule="auto"/>
              <w:rPr>
                <w:rFonts w:ascii="David" w:hAnsi="David"/>
                <w:b/>
                <w:bCs/>
                <w:szCs w:val="24"/>
                <w:rtl/>
              </w:rPr>
            </w:pPr>
            <w:r>
              <w:rPr>
                <w:rFonts w:ascii="David" w:hAnsi="David" w:hint="cs"/>
                <w:b/>
                <w:bCs/>
                <w:szCs w:val="24"/>
                <w:rtl/>
              </w:rPr>
              <w:t>הבקשה נדחית</w:t>
            </w:r>
            <w:r w:rsidR="00D95F3C">
              <w:rPr>
                <w:rFonts w:ascii="David" w:hAnsi="David" w:hint="cs"/>
                <w:b/>
                <w:bCs/>
                <w:szCs w:val="24"/>
                <w:rtl/>
              </w:rPr>
              <w:t>.</w:t>
            </w:r>
          </w:p>
        </w:tc>
      </w:tr>
      <w:tr w:rsidR="00A7099D" w:rsidRPr="00E12F6C" w:rsidTr="00A7099D">
        <w:tc>
          <w:tcPr>
            <w:tcW w:w="724" w:type="dxa"/>
          </w:tcPr>
          <w:p w:rsidR="00A7099D" w:rsidRPr="00E12F6C" w:rsidRDefault="00A7099D" w:rsidP="006D1ACF">
            <w:pPr>
              <w:rPr>
                <w:rFonts w:ascii="David" w:hAnsi="David"/>
                <w:b/>
                <w:bCs/>
                <w:szCs w:val="24"/>
                <w:rtl/>
              </w:rPr>
            </w:pPr>
          </w:p>
        </w:tc>
        <w:tc>
          <w:tcPr>
            <w:tcW w:w="1733" w:type="dxa"/>
          </w:tcPr>
          <w:p w:rsidR="00A7099D" w:rsidRPr="00E12F6C" w:rsidRDefault="00A7099D" w:rsidP="006D1ACF">
            <w:pPr>
              <w:rPr>
                <w:rFonts w:ascii="David" w:hAnsi="David"/>
                <w:b/>
                <w:bCs/>
                <w:szCs w:val="24"/>
                <w:rtl/>
              </w:rPr>
            </w:pPr>
          </w:p>
        </w:tc>
        <w:tc>
          <w:tcPr>
            <w:tcW w:w="2154" w:type="dxa"/>
          </w:tcPr>
          <w:p w:rsidR="00A7099D" w:rsidRPr="00E12F6C" w:rsidRDefault="00A7099D" w:rsidP="006D1ACF">
            <w:pPr>
              <w:rPr>
                <w:rFonts w:ascii="David" w:hAnsi="David"/>
                <w:b/>
                <w:bCs/>
                <w:szCs w:val="24"/>
                <w:rtl/>
              </w:rPr>
            </w:pPr>
          </w:p>
        </w:tc>
        <w:tc>
          <w:tcPr>
            <w:tcW w:w="2198" w:type="dxa"/>
          </w:tcPr>
          <w:p w:rsidR="00A7099D" w:rsidRPr="00E12F6C" w:rsidRDefault="00A7099D" w:rsidP="006D1ACF">
            <w:pPr>
              <w:rPr>
                <w:rFonts w:ascii="David" w:hAnsi="David"/>
                <w:b/>
                <w:bCs/>
                <w:szCs w:val="24"/>
                <w:rtl/>
              </w:rPr>
            </w:pPr>
          </w:p>
        </w:tc>
        <w:tc>
          <w:tcPr>
            <w:tcW w:w="2181" w:type="dxa"/>
          </w:tcPr>
          <w:p w:rsidR="00A7099D" w:rsidRPr="00E12F6C" w:rsidRDefault="00A7099D" w:rsidP="007E57E7">
            <w:pPr>
              <w:rPr>
                <w:rFonts w:ascii="David" w:hAnsi="David"/>
                <w:b/>
                <w:bCs/>
                <w:szCs w:val="24"/>
                <w:rtl/>
              </w:rPr>
            </w:pPr>
          </w:p>
        </w:tc>
      </w:tr>
      <w:tr w:rsidR="00A7099D" w:rsidRPr="00E12F6C" w:rsidTr="00A7099D">
        <w:tc>
          <w:tcPr>
            <w:tcW w:w="724" w:type="dxa"/>
          </w:tcPr>
          <w:p w:rsidR="00A7099D" w:rsidRPr="00E12F6C" w:rsidRDefault="00A7099D" w:rsidP="006D1ACF">
            <w:pPr>
              <w:rPr>
                <w:rFonts w:ascii="David" w:hAnsi="David"/>
                <w:b/>
                <w:bCs/>
                <w:szCs w:val="24"/>
                <w:rtl/>
              </w:rPr>
            </w:pPr>
          </w:p>
        </w:tc>
        <w:tc>
          <w:tcPr>
            <w:tcW w:w="1733" w:type="dxa"/>
          </w:tcPr>
          <w:p w:rsidR="00A7099D" w:rsidRPr="00E12F6C" w:rsidRDefault="00A7099D" w:rsidP="006D1ACF">
            <w:pPr>
              <w:rPr>
                <w:rFonts w:ascii="David" w:hAnsi="David"/>
                <w:b/>
                <w:bCs/>
                <w:szCs w:val="24"/>
                <w:rtl/>
              </w:rPr>
            </w:pPr>
          </w:p>
        </w:tc>
        <w:tc>
          <w:tcPr>
            <w:tcW w:w="2154" w:type="dxa"/>
          </w:tcPr>
          <w:p w:rsidR="00A7099D" w:rsidRPr="00E12F6C" w:rsidRDefault="00A7099D" w:rsidP="006D1ACF">
            <w:pPr>
              <w:rPr>
                <w:rFonts w:ascii="David" w:hAnsi="David"/>
                <w:b/>
                <w:bCs/>
                <w:szCs w:val="24"/>
                <w:rtl/>
              </w:rPr>
            </w:pPr>
          </w:p>
        </w:tc>
        <w:tc>
          <w:tcPr>
            <w:tcW w:w="2198" w:type="dxa"/>
          </w:tcPr>
          <w:p w:rsidR="00A7099D" w:rsidRPr="00E12F6C" w:rsidRDefault="00A7099D" w:rsidP="006D1ACF">
            <w:pPr>
              <w:rPr>
                <w:rFonts w:ascii="David" w:hAnsi="David"/>
                <w:b/>
                <w:bCs/>
                <w:szCs w:val="24"/>
                <w:rtl/>
              </w:rPr>
            </w:pPr>
          </w:p>
        </w:tc>
        <w:tc>
          <w:tcPr>
            <w:tcW w:w="2181" w:type="dxa"/>
          </w:tcPr>
          <w:p w:rsidR="00A7099D" w:rsidRPr="00E12F6C" w:rsidRDefault="00A7099D" w:rsidP="007E57E7">
            <w:pPr>
              <w:rPr>
                <w:rFonts w:ascii="David" w:hAnsi="David"/>
                <w:b/>
                <w:bCs/>
                <w:szCs w:val="24"/>
                <w:rtl/>
              </w:rPr>
            </w:pPr>
          </w:p>
        </w:tc>
      </w:tr>
    </w:tbl>
    <w:p w:rsidR="006A1FB0" w:rsidRPr="00901B26" w:rsidRDefault="006A1FB0" w:rsidP="00901B26">
      <w:pPr>
        <w:rPr>
          <w:szCs w:val="24"/>
          <w:rtl/>
        </w:rPr>
      </w:pPr>
    </w:p>
    <w:sectPr w:rsidR="006A1FB0" w:rsidRPr="00901B26" w:rsidSect="007E57E7">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17DA" w:rsidRDefault="007817DA">
      <w:r>
        <w:separator/>
      </w:r>
    </w:p>
  </w:endnote>
  <w:endnote w:type="continuationSeparator" w:id="0">
    <w:p w:rsidR="007817DA" w:rsidRDefault="007817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A7099D">
          <w:rPr>
            <w:rFonts w:hint="cs"/>
            <w:rtl/>
          </w:rPr>
          <w:t>02-5006766</w:t>
        </w:r>
      </w:sdtContent>
    </w:sdt>
  </w:p>
  <w:p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A7099D">
          <w:rPr>
            <w:rFonts w:hint="cs"/>
            <w:rtl/>
          </w:rPr>
          <w:t>02-5006766</w:t>
        </w:r>
      </w:sdtContent>
    </w:sdt>
  </w:p>
  <w:p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17DA" w:rsidRDefault="007817DA">
      <w:r>
        <w:separator/>
      </w:r>
    </w:p>
  </w:footnote>
  <w:footnote w:type="continuationSeparator" w:id="0">
    <w:p w:rsidR="007817DA" w:rsidRDefault="007817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A639C" w:rsidRPr="00EA639C">
          <w:rPr>
            <w:rFonts w:cs="Calibri"/>
            <w:b/>
            <w:bCs/>
            <w:noProof/>
            <w:rtl/>
            <w:lang w:val="he-IL"/>
          </w:rPr>
          <w:t>2</w:t>
        </w:r>
        <w:r w:rsidRPr="00D3749A">
          <w:rPr>
            <w:b/>
            <w:bCs/>
          </w:rPr>
          <w:fldChar w:fldCharType="end"/>
        </w:r>
        <w:r w:rsidRPr="00D3749A">
          <w:rPr>
            <w:rFonts w:hint="cs"/>
            <w:b/>
            <w:bCs/>
            <w:rtl/>
          </w:rPr>
          <w:t xml:space="preserve"> -</w:t>
        </w:r>
      </w:sdtContent>
    </w:sdt>
  </w:p>
  <w:p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218" w:rsidRDefault="007817DA" w:rsidP="001006AA">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4.9pt;margin-top:-29.1pt;width:40.05pt;height:47.55pt;z-index:251663872;visibility:visible;mso-wrap-edited:f">
          <v:imagedata r:id="rId1" o:title=""/>
          <w10:wrap type="topAndBottom"/>
        </v:shape>
        <o:OLEObject Type="Embed" ProgID="Word.Picture.8" ShapeID="_x0000_s2049" DrawAspect="Content" ObjectID="_1570365045" r:id="rId2"/>
      </w:object>
    </w:r>
    <w:r w:rsidR="00D01218">
      <w:rPr>
        <w:b/>
        <w:bCs/>
        <w:szCs w:val="40"/>
        <w:rtl/>
      </w:rPr>
      <w:t>מדינת ישראל</w:t>
    </w:r>
  </w:p>
  <w:p w:rsidR="00D01218" w:rsidRDefault="00D01218" w:rsidP="001006AA">
    <w:pPr>
      <w:pStyle w:val="a6"/>
      <w:tabs>
        <w:tab w:val="left" w:pos="2447"/>
      </w:tabs>
      <w:spacing w:line="276" w:lineRule="auto"/>
      <w:jc w:val="center"/>
      <w:rPr>
        <w:b/>
        <w:bCs/>
        <w:szCs w:val="32"/>
        <w:rtl/>
      </w:rPr>
    </w:pPr>
    <w:r>
      <w:rPr>
        <w:rFonts w:hint="cs"/>
        <w:b/>
        <w:bCs/>
        <w:szCs w:val="32"/>
        <w:rtl/>
      </w:rPr>
      <w:t xml:space="preserve">משרד האנרגיה </w:t>
    </w:r>
  </w:p>
  <w:p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FB1CF4"/>
    <w:multiLevelType w:val="hybridMultilevel"/>
    <w:tmpl w:val="512EB7A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DD69C0"/>
    <w:multiLevelType w:val="hybridMultilevel"/>
    <w:tmpl w:val="DAD0FD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63766AE6"/>
    <w:multiLevelType w:val="hybridMultilevel"/>
    <w:tmpl w:val="AA24D54C"/>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3D1C23"/>
    <w:multiLevelType w:val="hybridMultilevel"/>
    <w:tmpl w:val="9EF84230"/>
    <w:lvl w:ilvl="0" w:tplc="9B0C9E4E">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16"/>
  </w:num>
  <w:num w:numId="4">
    <w:abstractNumId w:val="8"/>
  </w:num>
  <w:num w:numId="5">
    <w:abstractNumId w:val="4"/>
  </w:num>
  <w:num w:numId="6">
    <w:abstractNumId w:val="5"/>
  </w:num>
  <w:num w:numId="7">
    <w:abstractNumId w:val="14"/>
  </w:num>
  <w:num w:numId="8">
    <w:abstractNumId w:val="6"/>
  </w:num>
  <w:num w:numId="9">
    <w:abstractNumId w:val="7"/>
  </w:num>
  <w:num w:numId="10">
    <w:abstractNumId w:val="13"/>
  </w:num>
  <w:num w:numId="11">
    <w:abstractNumId w:val="11"/>
  </w:num>
  <w:num w:numId="12">
    <w:abstractNumId w:val="2"/>
  </w:num>
  <w:num w:numId="13">
    <w:abstractNumId w:val="1"/>
  </w:num>
  <w:num w:numId="14">
    <w:abstractNumId w:val="15"/>
  </w:num>
  <w:num w:numId="15">
    <w:abstractNumId w:val="10"/>
  </w:num>
  <w:num w:numId="16">
    <w:abstractNumId w:val="3"/>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1679D"/>
    <w:rsid w:val="00016EB2"/>
    <w:rsid w:val="000247C7"/>
    <w:rsid w:val="00027CC1"/>
    <w:rsid w:val="00027F5E"/>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C57F2"/>
    <w:rsid w:val="000D2D3C"/>
    <w:rsid w:val="000F0C8E"/>
    <w:rsid w:val="000F4567"/>
    <w:rsid w:val="000F7364"/>
    <w:rsid w:val="000F7ADE"/>
    <w:rsid w:val="000F7E41"/>
    <w:rsid w:val="001006AA"/>
    <w:rsid w:val="00102399"/>
    <w:rsid w:val="00107C68"/>
    <w:rsid w:val="0011014C"/>
    <w:rsid w:val="0011457C"/>
    <w:rsid w:val="00115398"/>
    <w:rsid w:val="001211FB"/>
    <w:rsid w:val="0012372B"/>
    <w:rsid w:val="0012688D"/>
    <w:rsid w:val="001269BB"/>
    <w:rsid w:val="00132E0C"/>
    <w:rsid w:val="00134B6B"/>
    <w:rsid w:val="00135998"/>
    <w:rsid w:val="001359FA"/>
    <w:rsid w:val="00136D84"/>
    <w:rsid w:val="0014024E"/>
    <w:rsid w:val="0014040F"/>
    <w:rsid w:val="00144716"/>
    <w:rsid w:val="00145969"/>
    <w:rsid w:val="00151109"/>
    <w:rsid w:val="00152130"/>
    <w:rsid w:val="00152EDF"/>
    <w:rsid w:val="0015365A"/>
    <w:rsid w:val="001539F2"/>
    <w:rsid w:val="001617C9"/>
    <w:rsid w:val="0016193E"/>
    <w:rsid w:val="001639C8"/>
    <w:rsid w:val="00163B68"/>
    <w:rsid w:val="001658EE"/>
    <w:rsid w:val="00170B85"/>
    <w:rsid w:val="001826BD"/>
    <w:rsid w:val="00183346"/>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4F6"/>
    <w:rsid w:val="00234583"/>
    <w:rsid w:val="00235023"/>
    <w:rsid w:val="002358C3"/>
    <w:rsid w:val="00240565"/>
    <w:rsid w:val="002408EF"/>
    <w:rsid w:val="00241EE9"/>
    <w:rsid w:val="002427ED"/>
    <w:rsid w:val="0024470F"/>
    <w:rsid w:val="0025062F"/>
    <w:rsid w:val="00256083"/>
    <w:rsid w:val="0025786D"/>
    <w:rsid w:val="00257923"/>
    <w:rsid w:val="00261616"/>
    <w:rsid w:val="00264A22"/>
    <w:rsid w:val="00270E84"/>
    <w:rsid w:val="00271EE1"/>
    <w:rsid w:val="00274CB8"/>
    <w:rsid w:val="00286AAE"/>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15F17"/>
    <w:rsid w:val="00320EE5"/>
    <w:rsid w:val="00321798"/>
    <w:rsid w:val="00323430"/>
    <w:rsid w:val="003238F0"/>
    <w:rsid w:val="00331AB5"/>
    <w:rsid w:val="00333306"/>
    <w:rsid w:val="003360EB"/>
    <w:rsid w:val="003361CF"/>
    <w:rsid w:val="003405AC"/>
    <w:rsid w:val="00340E66"/>
    <w:rsid w:val="00341788"/>
    <w:rsid w:val="00343410"/>
    <w:rsid w:val="00347885"/>
    <w:rsid w:val="0035457D"/>
    <w:rsid w:val="003549E0"/>
    <w:rsid w:val="00354B8D"/>
    <w:rsid w:val="00361E0B"/>
    <w:rsid w:val="00365B90"/>
    <w:rsid w:val="00370215"/>
    <w:rsid w:val="00370F20"/>
    <w:rsid w:val="00376817"/>
    <w:rsid w:val="00377F0C"/>
    <w:rsid w:val="00383419"/>
    <w:rsid w:val="00386154"/>
    <w:rsid w:val="00386860"/>
    <w:rsid w:val="0039534E"/>
    <w:rsid w:val="00397A96"/>
    <w:rsid w:val="003A30BD"/>
    <w:rsid w:val="003B79E5"/>
    <w:rsid w:val="003C0303"/>
    <w:rsid w:val="003C221A"/>
    <w:rsid w:val="003C6BCF"/>
    <w:rsid w:val="003D3F03"/>
    <w:rsid w:val="003D4ACE"/>
    <w:rsid w:val="003D55A9"/>
    <w:rsid w:val="003D7091"/>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0E47"/>
    <w:rsid w:val="004A4DA1"/>
    <w:rsid w:val="004B335B"/>
    <w:rsid w:val="004B350B"/>
    <w:rsid w:val="004B49E7"/>
    <w:rsid w:val="004B5ED3"/>
    <w:rsid w:val="004C281C"/>
    <w:rsid w:val="004C4DF4"/>
    <w:rsid w:val="004C54EE"/>
    <w:rsid w:val="004C5CAC"/>
    <w:rsid w:val="004D1999"/>
    <w:rsid w:val="004D20A8"/>
    <w:rsid w:val="004D7CDD"/>
    <w:rsid w:val="004E05C3"/>
    <w:rsid w:val="004E0845"/>
    <w:rsid w:val="004E1310"/>
    <w:rsid w:val="004E5922"/>
    <w:rsid w:val="004E757F"/>
    <w:rsid w:val="004F0C3F"/>
    <w:rsid w:val="004F508D"/>
    <w:rsid w:val="004F5624"/>
    <w:rsid w:val="00507B38"/>
    <w:rsid w:val="00517178"/>
    <w:rsid w:val="005211C9"/>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3F1"/>
    <w:rsid w:val="005E1D69"/>
    <w:rsid w:val="005E2A69"/>
    <w:rsid w:val="005E4C1F"/>
    <w:rsid w:val="005E5E77"/>
    <w:rsid w:val="005E5FE4"/>
    <w:rsid w:val="005F045A"/>
    <w:rsid w:val="005F1DB3"/>
    <w:rsid w:val="005F1DEA"/>
    <w:rsid w:val="005F261F"/>
    <w:rsid w:val="005F7AFA"/>
    <w:rsid w:val="00601D6C"/>
    <w:rsid w:val="00610303"/>
    <w:rsid w:val="00610A2A"/>
    <w:rsid w:val="00613A92"/>
    <w:rsid w:val="006200EC"/>
    <w:rsid w:val="00624679"/>
    <w:rsid w:val="00626BCE"/>
    <w:rsid w:val="00627651"/>
    <w:rsid w:val="00627CB7"/>
    <w:rsid w:val="00627F33"/>
    <w:rsid w:val="00630577"/>
    <w:rsid w:val="00637288"/>
    <w:rsid w:val="006426A9"/>
    <w:rsid w:val="006500F2"/>
    <w:rsid w:val="006544D7"/>
    <w:rsid w:val="006579D6"/>
    <w:rsid w:val="0067090E"/>
    <w:rsid w:val="00674C00"/>
    <w:rsid w:val="00680AB7"/>
    <w:rsid w:val="00693590"/>
    <w:rsid w:val="0069709F"/>
    <w:rsid w:val="006A1FB0"/>
    <w:rsid w:val="006A52EA"/>
    <w:rsid w:val="006B2487"/>
    <w:rsid w:val="006B7F74"/>
    <w:rsid w:val="006C0066"/>
    <w:rsid w:val="006C2C32"/>
    <w:rsid w:val="006C5977"/>
    <w:rsid w:val="006C5E0A"/>
    <w:rsid w:val="006D4C35"/>
    <w:rsid w:val="006D6B83"/>
    <w:rsid w:val="006E7093"/>
    <w:rsid w:val="006E72C5"/>
    <w:rsid w:val="006F2296"/>
    <w:rsid w:val="006F373C"/>
    <w:rsid w:val="006F3CC9"/>
    <w:rsid w:val="00700DB0"/>
    <w:rsid w:val="00703BD7"/>
    <w:rsid w:val="007049EF"/>
    <w:rsid w:val="00712673"/>
    <w:rsid w:val="0071514A"/>
    <w:rsid w:val="0072163A"/>
    <w:rsid w:val="00721721"/>
    <w:rsid w:val="00724754"/>
    <w:rsid w:val="00725979"/>
    <w:rsid w:val="007276EF"/>
    <w:rsid w:val="00733137"/>
    <w:rsid w:val="007335C5"/>
    <w:rsid w:val="00734143"/>
    <w:rsid w:val="00735C28"/>
    <w:rsid w:val="00740D98"/>
    <w:rsid w:val="00754E2B"/>
    <w:rsid w:val="00755CF3"/>
    <w:rsid w:val="007565A9"/>
    <w:rsid w:val="00762310"/>
    <w:rsid w:val="00762E4E"/>
    <w:rsid w:val="0076342C"/>
    <w:rsid w:val="00763697"/>
    <w:rsid w:val="00765D1F"/>
    <w:rsid w:val="00766EE0"/>
    <w:rsid w:val="00767188"/>
    <w:rsid w:val="00771F8F"/>
    <w:rsid w:val="00774618"/>
    <w:rsid w:val="007752F2"/>
    <w:rsid w:val="007768BF"/>
    <w:rsid w:val="007817DA"/>
    <w:rsid w:val="00782FD3"/>
    <w:rsid w:val="007849A9"/>
    <w:rsid w:val="0078568E"/>
    <w:rsid w:val="00791463"/>
    <w:rsid w:val="00791489"/>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57E7"/>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037"/>
    <w:rsid w:val="008675F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2AB"/>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1B26"/>
    <w:rsid w:val="00905286"/>
    <w:rsid w:val="00911C83"/>
    <w:rsid w:val="009145F4"/>
    <w:rsid w:val="009216E2"/>
    <w:rsid w:val="00921D35"/>
    <w:rsid w:val="009220EB"/>
    <w:rsid w:val="00924837"/>
    <w:rsid w:val="0092608C"/>
    <w:rsid w:val="00926933"/>
    <w:rsid w:val="00926D34"/>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4F32"/>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9F6DF1"/>
    <w:rsid w:val="00A00563"/>
    <w:rsid w:val="00A0165F"/>
    <w:rsid w:val="00A01A00"/>
    <w:rsid w:val="00A02610"/>
    <w:rsid w:val="00A0581F"/>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D30"/>
    <w:rsid w:val="00A63F7A"/>
    <w:rsid w:val="00A70455"/>
    <w:rsid w:val="00A7099D"/>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478C3"/>
    <w:rsid w:val="00B501F7"/>
    <w:rsid w:val="00B50E07"/>
    <w:rsid w:val="00B60E2D"/>
    <w:rsid w:val="00B61293"/>
    <w:rsid w:val="00B6143B"/>
    <w:rsid w:val="00B634F1"/>
    <w:rsid w:val="00B63605"/>
    <w:rsid w:val="00B638C5"/>
    <w:rsid w:val="00B65C01"/>
    <w:rsid w:val="00B72353"/>
    <w:rsid w:val="00B74970"/>
    <w:rsid w:val="00B811E5"/>
    <w:rsid w:val="00B84B35"/>
    <w:rsid w:val="00B9139B"/>
    <w:rsid w:val="00B9162D"/>
    <w:rsid w:val="00B92309"/>
    <w:rsid w:val="00BB04C8"/>
    <w:rsid w:val="00BB5A7A"/>
    <w:rsid w:val="00BC329B"/>
    <w:rsid w:val="00BC6F5D"/>
    <w:rsid w:val="00BC7BE0"/>
    <w:rsid w:val="00BD01B4"/>
    <w:rsid w:val="00BD7093"/>
    <w:rsid w:val="00BE0A56"/>
    <w:rsid w:val="00BE119B"/>
    <w:rsid w:val="00BE1A1D"/>
    <w:rsid w:val="00BE2711"/>
    <w:rsid w:val="00BF2931"/>
    <w:rsid w:val="00BF712F"/>
    <w:rsid w:val="00C032A2"/>
    <w:rsid w:val="00C04299"/>
    <w:rsid w:val="00C05152"/>
    <w:rsid w:val="00C15681"/>
    <w:rsid w:val="00C27DC7"/>
    <w:rsid w:val="00C304AC"/>
    <w:rsid w:val="00C3160D"/>
    <w:rsid w:val="00C33B51"/>
    <w:rsid w:val="00C347AD"/>
    <w:rsid w:val="00C3691A"/>
    <w:rsid w:val="00C42AC6"/>
    <w:rsid w:val="00C434DA"/>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3236"/>
    <w:rsid w:val="00C957DC"/>
    <w:rsid w:val="00C97C13"/>
    <w:rsid w:val="00CA19A6"/>
    <w:rsid w:val="00CA2BA0"/>
    <w:rsid w:val="00CA3254"/>
    <w:rsid w:val="00CB33E5"/>
    <w:rsid w:val="00CB7506"/>
    <w:rsid w:val="00CB7DAB"/>
    <w:rsid w:val="00CC433E"/>
    <w:rsid w:val="00CC4C37"/>
    <w:rsid w:val="00CC7908"/>
    <w:rsid w:val="00CC7A83"/>
    <w:rsid w:val="00CD2160"/>
    <w:rsid w:val="00CD2B48"/>
    <w:rsid w:val="00CD2EC1"/>
    <w:rsid w:val="00CD3374"/>
    <w:rsid w:val="00CD33FF"/>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59B"/>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080"/>
    <w:rsid w:val="00D76138"/>
    <w:rsid w:val="00D82E65"/>
    <w:rsid w:val="00D8496E"/>
    <w:rsid w:val="00D91274"/>
    <w:rsid w:val="00D95024"/>
    <w:rsid w:val="00D95137"/>
    <w:rsid w:val="00D95C27"/>
    <w:rsid w:val="00D95F3C"/>
    <w:rsid w:val="00D9654E"/>
    <w:rsid w:val="00DA1519"/>
    <w:rsid w:val="00DA1726"/>
    <w:rsid w:val="00DA6054"/>
    <w:rsid w:val="00DB5029"/>
    <w:rsid w:val="00DB68FA"/>
    <w:rsid w:val="00DB7E81"/>
    <w:rsid w:val="00DC3641"/>
    <w:rsid w:val="00DC4540"/>
    <w:rsid w:val="00DC7060"/>
    <w:rsid w:val="00DD2111"/>
    <w:rsid w:val="00DD2CB4"/>
    <w:rsid w:val="00DD3C0D"/>
    <w:rsid w:val="00DD6236"/>
    <w:rsid w:val="00DD6D2F"/>
    <w:rsid w:val="00DD792B"/>
    <w:rsid w:val="00DE05FC"/>
    <w:rsid w:val="00DE7065"/>
    <w:rsid w:val="00DF099C"/>
    <w:rsid w:val="00DF232B"/>
    <w:rsid w:val="00DF2A9E"/>
    <w:rsid w:val="00E001A4"/>
    <w:rsid w:val="00E10333"/>
    <w:rsid w:val="00E10A85"/>
    <w:rsid w:val="00E1193C"/>
    <w:rsid w:val="00E12979"/>
    <w:rsid w:val="00E174A1"/>
    <w:rsid w:val="00E20083"/>
    <w:rsid w:val="00E21A80"/>
    <w:rsid w:val="00E22086"/>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A639C"/>
    <w:rsid w:val="00EB04F6"/>
    <w:rsid w:val="00EB1D87"/>
    <w:rsid w:val="00EB21AD"/>
    <w:rsid w:val="00EB259A"/>
    <w:rsid w:val="00EB319A"/>
    <w:rsid w:val="00EB339B"/>
    <w:rsid w:val="00EB4998"/>
    <w:rsid w:val="00EC1985"/>
    <w:rsid w:val="00EC3408"/>
    <w:rsid w:val="00EC4B25"/>
    <w:rsid w:val="00EC4B91"/>
    <w:rsid w:val="00EC6CEF"/>
    <w:rsid w:val="00ED13AF"/>
    <w:rsid w:val="00ED37B2"/>
    <w:rsid w:val="00ED4B88"/>
    <w:rsid w:val="00ED6BC1"/>
    <w:rsid w:val="00EE5A63"/>
    <w:rsid w:val="00EE6716"/>
    <w:rsid w:val="00EE7212"/>
    <w:rsid w:val="00EE7D8B"/>
    <w:rsid w:val="00EF0776"/>
    <w:rsid w:val="00EF3876"/>
    <w:rsid w:val="00F00A97"/>
    <w:rsid w:val="00F00FF8"/>
    <w:rsid w:val="00F06260"/>
    <w:rsid w:val="00F076B3"/>
    <w:rsid w:val="00F12DB0"/>
    <w:rsid w:val="00F14C94"/>
    <w:rsid w:val="00F16A3E"/>
    <w:rsid w:val="00F23AD2"/>
    <w:rsid w:val="00F25CB5"/>
    <w:rsid w:val="00F27512"/>
    <w:rsid w:val="00F333EC"/>
    <w:rsid w:val="00F35885"/>
    <w:rsid w:val="00F35BFD"/>
    <w:rsid w:val="00F40B0E"/>
    <w:rsid w:val="00F41166"/>
    <w:rsid w:val="00F41F84"/>
    <w:rsid w:val="00F42907"/>
    <w:rsid w:val="00F453F1"/>
    <w:rsid w:val="00F458F5"/>
    <w:rsid w:val="00F5586C"/>
    <w:rsid w:val="00F564A2"/>
    <w:rsid w:val="00F5772D"/>
    <w:rsid w:val="00F63432"/>
    <w:rsid w:val="00F744AD"/>
    <w:rsid w:val="00F757BF"/>
    <w:rsid w:val="00F82307"/>
    <w:rsid w:val="00F83F17"/>
    <w:rsid w:val="00F86CC7"/>
    <w:rsid w:val="00F912A1"/>
    <w:rsid w:val="00F91720"/>
    <w:rsid w:val="00F94B38"/>
    <w:rsid w:val="00F94CF0"/>
    <w:rsid w:val="00F96CCA"/>
    <w:rsid w:val="00FA32CF"/>
    <w:rsid w:val="00FA63C1"/>
    <w:rsid w:val="00FB0C5F"/>
    <w:rsid w:val="00FC5938"/>
    <w:rsid w:val="00FC5DE0"/>
    <w:rsid w:val="00FD050A"/>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uiPriority w:val="59"/>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 w:type="paragraph" w:customStyle="1" w:styleId="aff9">
    <w:name w:val="טקסט בסיסי"/>
    <w:uiPriority w:val="99"/>
    <w:rsid w:val="00183346"/>
    <w:pPr>
      <w:keepLines/>
      <w:bidi/>
      <w:spacing w:before="120" w:after="240" w:line="320" w:lineRule="atLeast"/>
    </w:pPr>
    <w:rPr>
      <w:rFonts w:cs="Narkisim"/>
      <w:sz w:val="24"/>
      <w:szCs w:val="24"/>
    </w:rPr>
  </w:style>
  <w:style w:type="paragraph" w:customStyle="1" w:styleId="affa">
    <w:name w:val="הנגשה כותרת משנה"/>
    <w:basedOn w:val="a2"/>
    <w:link w:val="affb"/>
    <w:qFormat/>
    <w:rsid w:val="007E57E7"/>
    <w:pPr>
      <w:spacing w:line="360" w:lineRule="auto"/>
      <w:jc w:val="center"/>
    </w:pPr>
    <w:rPr>
      <w:rFonts w:ascii="Tahoma" w:hAnsi="Tahoma" w:cstheme="minorBidi"/>
      <w:b/>
      <w:bCs/>
      <w:sz w:val="40"/>
      <w:szCs w:val="32"/>
    </w:rPr>
  </w:style>
  <w:style w:type="character" w:customStyle="1" w:styleId="affb">
    <w:name w:val="הנגשה כותרת משנה תו"/>
    <w:basedOn w:val="a3"/>
    <w:link w:val="affa"/>
    <w:rsid w:val="007E57E7"/>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27304625">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29283343">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094592969">
      <w:bodyDiv w:val="1"/>
      <w:marLeft w:val="0"/>
      <w:marRight w:val="0"/>
      <w:marTop w:val="0"/>
      <w:marBottom w:val="0"/>
      <w:divBdr>
        <w:top w:val="none" w:sz="0" w:space="0" w:color="auto"/>
        <w:left w:val="none" w:sz="0" w:space="0" w:color="auto"/>
        <w:bottom w:val="none" w:sz="0" w:space="0" w:color="auto"/>
        <w:right w:val="none" w:sz="0" w:space="0" w:color="auto"/>
      </w:divBdr>
    </w:div>
    <w:div w:id="1096754063">
      <w:bodyDiv w:val="1"/>
      <w:marLeft w:val="0"/>
      <w:marRight w:val="0"/>
      <w:marTop w:val="0"/>
      <w:marBottom w:val="0"/>
      <w:divBdr>
        <w:top w:val="none" w:sz="0" w:space="0" w:color="auto"/>
        <w:left w:val="none" w:sz="0" w:space="0" w:color="auto"/>
        <w:bottom w:val="none" w:sz="0" w:space="0" w:color="auto"/>
        <w:right w:val="none" w:sz="0" w:space="0" w:color="auto"/>
      </w:divBdr>
    </w:div>
    <w:div w:id="1288009657">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חת_287_2017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19 באוקטובר 2017</DocumentCreateDateEnglish>
    <DocumentCreateDateHebrew xmlns="8f5b83e0-a1d3-486c-bd07-833a425c74af">כ"ט בתשרי התשע"ח</DocumentCreateDateHebrew>
    <SubjectDocument xmlns="8f5b83e0-a1d3-486c-bd07-833a425c74af">שאלות והבהרות במסגרת מכרז 91/17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19/10/2017 01:13;37</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287</CounterString>
    <LastLockUser xmlns="8f5b83e0-a1d3-486c-bd07-833a425c74af" xsi:nil="true"/>
    <LastCheckOutDate xmlns="8f5b83e0-a1d3-486c-bd07-833a425c74af">19/10/2017 01:13;47</LastCheckOutDate>
    <LastCheckOutUser xmlns="8f5b83e0-a1d3-486c-bd07-833a425c74af">אילנה טמסוט</LastCheckOutUser>
    <CurrentDocumentStatus xmlns="8f5b83e0-a1d3-486c-bd07-833a425c74af">טיוטה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2017-10-19T00:00:00+00:00</DocumentCreateDate>
    <FileInternalName xmlns="8f5b83e0-a1d3-486c-bd07-833a425c74af">HT_287_2017</FileInternalNam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1C154-8B00-4AC8-A950-E419BACCD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48B9F21-871C-4270-BD07-251A81A47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701</Words>
  <Characters>3510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2017-10-24T12:43:00Z</cp:lastPrinted>
  <dcterms:created xsi:type="dcterms:W3CDTF">2017-10-24T12:44:00Z</dcterms:created>
  <dcterms:modified xsi:type="dcterms:W3CDTF">2017-10-24T12:44:00Z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